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Современные направления деятельности методиста, старшего воспитателя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Целевая аудитория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повышения квалификации предназначена для заведующих ДОУ, методистов, старших воспитателей детских садов.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Целью программы повышения квалификации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Современные направления деятельности методиста, старшего воспитателя в ДОУ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повышение профессионального мастерства слушателей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курсов повышения квалификации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области управления коллективом дошкольного образовательного учреждения и организации методической работы в нем.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совершенствование знаний старших воспитателей, методистов ДОУ о современных методах управления педагогами ДОУ;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умений слушателей курсов повышения квалификации использовать возможности образовательной среды для обеспечения качества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дошкольного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 организацию методической работы с воспитателями;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углубление знаний слушателей о процессе осуществления контроля за методической работой в ДОУ;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и совершенствование профессиональной компетентности методиста, старшего воспитателя дошкольного образовательного учреждения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Содержание образовательной программы: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Тематический план повышения квалификации :</w:t>
      </w:r>
    </w:p>
    <w:tbl>
      <w:tblPr/>
      <w:tblGrid>
        <w:gridCol w:w="718"/>
        <w:gridCol w:w="7088"/>
        <w:gridCol w:w="1669"/>
      </w:tblGrid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1. Современные подходы к руководству дошкольным образовательным учреждением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 управления современным ДОУ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Методологические основы системы управления ДОУ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Управление качеством образования в ДОУ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2. Система планирования в современном ДОУ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документы планирования деятельности ДОУ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Новые подходы к планированию в ДОУ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3. Управленческая культура методиста, старшего воспитателя ДОУ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Культура управления сотрудниками в работе старшего воспитателя, методиста ДОУ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Образовательное законодательство России о дошкольном образовании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 в ДОУ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Руководство педагогами ДОУ в деятельности старшего воспитателя, методиста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4. Методическая деятельность старшего воспитателя, методиста ДОУ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Методическая деятельность как специфический тип деятельности в образовательной системе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Профессиональные требования к старшему воспитателю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 методической работы старшего воспитателя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Методы активизации педагогов детского сада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5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5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6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72  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академических часа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7">
    <w:abstractNumId w:val="12"/>
  </w:num>
  <w:num w:numId="59">
    <w:abstractNumId w:val="6"/>
  </w:num>
  <w:num w:numId="6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sispp.tiu.ru/g3032377-doshkolnoe-obrazovanie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://sispp.tiu.ru/g2380343-kursy-povysheniya-kvalifikatsii" Id="docRId2" Type="http://schemas.openxmlformats.org/officeDocument/2006/relationships/hyperlink"/><Relationship Target="numbering.xml" Id="docRId4" Type="http://schemas.openxmlformats.org/officeDocument/2006/relationships/numbering"/></Relationships>
</file>